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36193" w14:textId="352767EC" w:rsidR="0064734D" w:rsidRPr="00733CAC" w:rsidRDefault="0064734D" w:rsidP="0064734D">
      <w:pPr>
        <w:rPr>
          <w:rFonts w:ascii="Times New Roman" w:hAnsi="Times New Roman"/>
        </w:rPr>
      </w:pPr>
      <w:r w:rsidRPr="00670D76">
        <w:rPr>
          <w:rFonts w:ascii="Times New Roman" w:hAnsi="Times New Roman"/>
          <w:sz w:val="28"/>
          <w:szCs w:val="28"/>
        </w:rPr>
        <w:t xml:space="preserve">                           </w:t>
      </w:r>
      <w:r w:rsidRPr="00733CAC">
        <w:rPr>
          <w:rFonts w:ascii="Times New Roman" w:hAnsi="Times New Roman"/>
        </w:rPr>
        <w:t>A</w:t>
      </w:r>
      <w:r w:rsidR="00363AF2">
        <w:rPr>
          <w:rFonts w:ascii="Times New Roman" w:hAnsi="Times New Roman"/>
        </w:rPr>
        <w:t>CCADEMIA DI BELLE ARTI DI LECCE</w:t>
      </w:r>
    </w:p>
    <w:p w14:paraId="7A632368" w14:textId="4B266B77" w:rsidR="0064734D" w:rsidRPr="00733CAC" w:rsidRDefault="0064734D" w:rsidP="0064734D">
      <w:pPr>
        <w:rPr>
          <w:rFonts w:ascii="Times New Roman" w:hAnsi="Times New Roman"/>
        </w:rPr>
      </w:pPr>
      <w:r w:rsidRPr="00733CAC">
        <w:rPr>
          <w:rFonts w:ascii="Times New Roman" w:hAnsi="Times New Roman"/>
        </w:rPr>
        <w:t>PROGRAMMA DI S</w:t>
      </w:r>
      <w:r w:rsidR="00363AF2">
        <w:rPr>
          <w:rFonts w:ascii="Times New Roman" w:hAnsi="Times New Roman"/>
        </w:rPr>
        <w:t>TORIA DELL’ARTE MODERNA A.A.2019/2020</w:t>
      </w:r>
    </w:p>
    <w:p w14:paraId="48525946" w14:textId="77777777" w:rsidR="0064734D" w:rsidRPr="00733CAC" w:rsidRDefault="0064734D" w:rsidP="0064734D">
      <w:pPr>
        <w:rPr>
          <w:rFonts w:ascii="Times New Roman" w:hAnsi="Times New Roman"/>
        </w:rPr>
      </w:pPr>
      <w:r w:rsidRPr="00733CAC">
        <w:rPr>
          <w:rFonts w:ascii="Times New Roman" w:hAnsi="Times New Roman"/>
        </w:rPr>
        <w:t xml:space="preserve">                                           PROF. PATRIZIA STAFFIERO</w:t>
      </w:r>
    </w:p>
    <w:p w14:paraId="1A379C16" w14:textId="77777777" w:rsidR="0064734D" w:rsidRPr="00733CAC" w:rsidRDefault="0064734D" w:rsidP="0064734D">
      <w:pPr>
        <w:rPr>
          <w:rFonts w:ascii="Times New Roman" w:hAnsi="Times New Roman"/>
        </w:rPr>
      </w:pPr>
    </w:p>
    <w:p w14:paraId="626BC0AC" w14:textId="77777777" w:rsidR="0064734D" w:rsidRPr="00733CAC" w:rsidRDefault="0064734D" w:rsidP="0064734D">
      <w:pPr>
        <w:widowControl w:val="0"/>
        <w:autoSpaceDE w:val="0"/>
        <w:autoSpaceDN w:val="0"/>
        <w:adjustRightInd w:val="0"/>
        <w:spacing w:after="240" w:line="360" w:lineRule="atLeast"/>
        <w:rPr>
          <w:rFonts w:ascii="Times New Roman" w:hAnsi="Times New Roman"/>
          <w:color w:val="000000"/>
        </w:rPr>
      </w:pPr>
      <w:r w:rsidRPr="00733CAC">
        <w:rPr>
          <w:rFonts w:ascii="Times New Roman" w:hAnsi="Times New Roman"/>
          <w:color w:val="000000"/>
        </w:rPr>
        <w:t>Crediti attribuiti all’insegnamento: 8</w:t>
      </w:r>
    </w:p>
    <w:p w14:paraId="5ACB67AA" w14:textId="77777777" w:rsidR="0064734D" w:rsidRPr="00733CAC" w:rsidRDefault="0064734D" w:rsidP="0064734D">
      <w:pPr>
        <w:widowControl w:val="0"/>
        <w:autoSpaceDE w:val="0"/>
        <w:autoSpaceDN w:val="0"/>
        <w:adjustRightInd w:val="0"/>
        <w:spacing w:after="240" w:line="360" w:lineRule="atLeast"/>
        <w:rPr>
          <w:rFonts w:ascii="Times New Roman" w:hAnsi="Times New Roman"/>
          <w:color w:val="000000"/>
        </w:rPr>
      </w:pPr>
      <w:r w:rsidRPr="00733CAC">
        <w:rPr>
          <w:rFonts w:ascii="Times New Roman" w:hAnsi="Times New Roman"/>
          <w:color w:val="000000"/>
        </w:rPr>
        <w:t xml:space="preserve">Semestre nel quale è svolto l’insegnamento: II SEMESTRE </w:t>
      </w:r>
    </w:p>
    <w:p w14:paraId="4854D526" w14:textId="77777777" w:rsidR="005B43A9" w:rsidRPr="00733CAC" w:rsidRDefault="005B43A9" w:rsidP="005B43A9">
      <w:pPr>
        <w:widowControl w:val="0"/>
        <w:autoSpaceDE w:val="0"/>
        <w:autoSpaceDN w:val="0"/>
        <w:adjustRightInd w:val="0"/>
        <w:spacing w:after="240" w:line="340" w:lineRule="atLeast"/>
        <w:rPr>
          <w:rFonts w:ascii="Times New Roman" w:hAnsi="Times New Roman"/>
          <w:color w:val="000000"/>
        </w:rPr>
      </w:pPr>
      <w:r w:rsidRPr="00733CAC">
        <w:rPr>
          <w:rFonts w:ascii="Times New Roman" w:hAnsi="Times New Roman"/>
          <w:color w:val="000000"/>
        </w:rPr>
        <w:t xml:space="preserve">A - Obiettivi del corso: </w:t>
      </w:r>
    </w:p>
    <w:p w14:paraId="7981FE53" w14:textId="3D33839D" w:rsidR="005B43A9" w:rsidRPr="00733CAC" w:rsidRDefault="005B43A9" w:rsidP="005B43A9">
      <w:pPr>
        <w:widowControl w:val="0"/>
        <w:numPr>
          <w:ilvl w:val="0"/>
          <w:numId w:val="2"/>
        </w:numPr>
        <w:tabs>
          <w:tab w:val="left" w:pos="220"/>
          <w:tab w:val="left" w:pos="720"/>
        </w:tabs>
        <w:autoSpaceDE w:val="0"/>
        <w:autoSpaceDN w:val="0"/>
        <w:adjustRightInd w:val="0"/>
        <w:spacing w:after="240" w:line="360" w:lineRule="atLeast"/>
        <w:ind w:hanging="720"/>
        <w:rPr>
          <w:rFonts w:ascii="Times New Roman" w:hAnsi="Times New Roman"/>
          <w:color w:val="000000"/>
        </w:rPr>
      </w:pPr>
      <w:r w:rsidRPr="00733CAC">
        <w:rPr>
          <w:rFonts w:ascii="Times New Roman" w:hAnsi="Times New Roman"/>
          <w:color w:val="000000"/>
          <w:kern w:val="1"/>
        </w:rPr>
        <w:tab/>
      </w:r>
      <w:r w:rsidRPr="00733CAC">
        <w:rPr>
          <w:rFonts w:ascii="Times New Roman" w:hAnsi="Times New Roman"/>
          <w:color w:val="000000"/>
          <w:kern w:val="1"/>
        </w:rPr>
        <w:tab/>
      </w:r>
      <w:r w:rsidRPr="00733CAC">
        <w:rPr>
          <w:rFonts w:ascii="Times New Roman" w:hAnsi="Times New Roman"/>
          <w:color w:val="000000"/>
        </w:rPr>
        <w:t xml:space="preserve">-  fornire strumenti per comprendere la produzione artistica in Italia e in </w:t>
      </w:r>
      <w:r w:rsidRPr="00733CAC">
        <w:rPr>
          <w:rFonts w:ascii="MS Mincho" w:eastAsia="MS Mincho" w:hAnsi="MS Mincho" w:cs="MS Mincho"/>
          <w:color w:val="000000"/>
        </w:rPr>
        <w:t> </w:t>
      </w:r>
      <w:r w:rsidRPr="00733CAC">
        <w:rPr>
          <w:rFonts w:ascii="Times New Roman" w:hAnsi="Times New Roman"/>
          <w:color w:val="000000"/>
        </w:rPr>
        <w:t xml:space="preserve">Europa nell’Età moderna; </w:t>
      </w:r>
    </w:p>
    <w:p w14:paraId="0B06A919" w14:textId="77777777" w:rsidR="005B43A9" w:rsidRPr="00733CAC" w:rsidRDefault="005B43A9" w:rsidP="005B43A9">
      <w:pPr>
        <w:widowControl w:val="0"/>
        <w:numPr>
          <w:ilvl w:val="0"/>
          <w:numId w:val="2"/>
        </w:numPr>
        <w:tabs>
          <w:tab w:val="left" w:pos="220"/>
          <w:tab w:val="left" w:pos="720"/>
        </w:tabs>
        <w:autoSpaceDE w:val="0"/>
        <w:autoSpaceDN w:val="0"/>
        <w:adjustRightInd w:val="0"/>
        <w:spacing w:after="240" w:line="360" w:lineRule="atLeast"/>
        <w:ind w:hanging="720"/>
        <w:rPr>
          <w:rFonts w:ascii="Times New Roman" w:hAnsi="Times New Roman"/>
          <w:color w:val="000000"/>
        </w:rPr>
      </w:pPr>
      <w:r w:rsidRPr="00733CAC">
        <w:rPr>
          <w:rFonts w:ascii="Times New Roman" w:hAnsi="Times New Roman"/>
          <w:color w:val="000000"/>
          <w:kern w:val="1"/>
        </w:rPr>
        <w:tab/>
      </w:r>
      <w:r w:rsidRPr="00733CAC">
        <w:rPr>
          <w:rFonts w:ascii="Times New Roman" w:hAnsi="Times New Roman"/>
          <w:color w:val="000000"/>
          <w:kern w:val="1"/>
        </w:rPr>
        <w:tab/>
      </w:r>
      <w:r w:rsidRPr="00733CAC">
        <w:rPr>
          <w:rFonts w:ascii="Times New Roman" w:hAnsi="Times New Roman"/>
          <w:color w:val="000000"/>
        </w:rPr>
        <w:t xml:space="preserve">-  leggere il manufatto artistico e coglierne la stratificazione; </w:t>
      </w:r>
      <w:r w:rsidRPr="00733CAC">
        <w:rPr>
          <w:rFonts w:ascii="MS Mincho" w:eastAsia="MS Mincho" w:hAnsi="MS Mincho" w:cs="MS Mincho"/>
          <w:color w:val="000000"/>
        </w:rPr>
        <w:t> </w:t>
      </w:r>
    </w:p>
    <w:p w14:paraId="1991C9C6" w14:textId="0DA26EB5" w:rsidR="00670D76" w:rsidRPr="00733CAC" w:rsidRDefault="005B43A9" w:rsidP="005B43A9">
      <w:pPr>
        <w:widowControl w:val="0"/>
        <w:numPr>
          <w:ilvl w:val="0"/>
          <w:numId w:val="2"/>
        </w:numPr>
        <w:tabs>
          <w:tab w:val="left" w:pos="220"/>
          <w:tab w:val="left" w:pos="720"/>
        </w:tabs>
        <w:autoSpaceDE w:val="0"/>
        <w:autoSpaceDN w:val="0"/>
        <w:adjustRightInd w:val="0"/>
        <w:spacing w:after="240" w:line="360" w:lineRule="atLeast"/>
        <w:ind w:hanging="720"/>
        <w:rPr>
          <w:rFonts w:ascii="Times New Roman" w:hAnsi="Times New Roman"/>
          <w:color w:val="000000"/>
        </w:rPr>
      </w:pPr>
      <w:r w:rsidRPr="00733CAC">
        <w:rPr>
          <w:rFonts w:ascii="Times New Roman" w:hAnsi="Times New Roman"/>
          <w:color w:val="000000"/>
          <w:kern w:val="1"/>
        </w:rPr>
        <w:tab/>
      </w:r>
      <w:r w:rsidRPr="00733CAC">
        <w:rPr>
          <w:rFonts w:ascii="Times New Roman" w:hAnsi="Times New Roman"/>
          <w:color w:val="000000"/>
          <w:kern w:val="1"/>
        </w:rPr>
        <w:tab/>
      </w:r>
      <w:r w:rsidRPr="00733CAC">
        <w:rPr>
          <w:rFonts w:ascii="Times New Roman" w:hAnsi="Times New Roman"/>
          <w:color w:val="000000"/>
        </w:rPr>
        <w:t>-  introdurre allo studio della produzione artistica in relazione ai contesti storici, alle</w:t>
      </w:r>
      <w:r w:rsidRPr="00733CAC">
        <w:rPr>
          <w:rFonts w:ascii="MS Mincho" w:eastAsia="MS Mincho" w:hAnsi="MS Mincho" w:cs="MS Mincho"/>
          <w:color w:val="000000"/>
        </w:rPr>
        <w:t> </w:t>
      </w:r>
      <w:r w:rsidRPr="00733CAC">
        <w:rPr>
          <w:rFonts w:ascii="Times New Roman" w:hAnsi="Times New Roman"/>
          <w:color w:val="000000"/>
        </w:rPr>
        <w:t>problematiche culturali e religiose</w:t>
      </w:r>
      <w:r w:rsidR="00335722" w:rsidRPr="00733CAC">
        <w:rPr>
          <w:rFonts w:ascii="Times New Roman" w:hAnsi="Times New Roman"/>
          <w:color w:val="000000"/>
        </w:rPr>
        <w:t xml:space="preserve"> con particolare riferimento all’iconografia e all’iconologia</w:t>
      </w:r>
      <w:r w:rsidRPr="00733CAC">
        <w:rPr>
          <w:rFonts w:ascii="Times New Roman" w:hAnsi="Times New Roman"/>
          <w:color w:val="000000"/>
        </w:rPr>
        <w:t xml:space="preserve">, </w:t>
      </w:r>
      <w:r w:rsidR="00335722" w:rsidRPr="00733CAC">
        <w:rPr>
          <w:rFonts w:ascii="Times New Roman" w:hAnsi="Times New Roman"/>
          <w:color w:val="000000"/>
        </w:rPr>
        <w:t xml:space="preserve">non trascurando l’importanza </w:t>
      </w:r>
      <w:r w:rsidRPr="00733CAC">
        <w:rPr>
          <w:rFonts w:ascii="Times New Roman" w:hAnsi="Times New Roman"/>
          <w:color w:val="000000"/>
        </w:rPr>
        <w:t xml:space="preserve">della committenza; </w:t>
      </w:r>
    </w:p>
    <w:p w14:paraId="08F6726C" w14:textId="4FD1C305" w:rsidR="005B43A9" w:rsidRPr="00733CAC" w:rsidRDefault="00670D76" w:rsidP="00733CAC">
      <w:pPr>
        <w:widowControl w:val="0"/>
        <w:tabs>
          <w:tab w:val="left" w:pos="220"/>
          <w:tab w:val="left" w:pos="720"/>
        </w:tabs>
        <w:autoSpaceDE w:val="0"/>
        <w:autoSpaceDN w:val="0"/>
        <w:adjustRightInd w:val="0"/>
        <w:spacing w:after="240" w:line="360" w:lineRule="atLeast"/>
        <w:rPr>
          <w:rFonts w:ascii="Times New Roman" w:hAnsi="Times New Roman"/>
          <w:color w:val="000000"/>
        </w:rPr>
      </w:pPr>
      <w:r w:rsidRPr="00733CAC">
        <w:rPr>
          <w:rFonts w:ascii="Times New Roman" w:hAnsi="Times New Roman"/>
          <w:color w:val="000000"/>
        </w:rPr>
        <w:t xml:space="preserve">   </w:t>
      </w:r>
      <w:r w:rsidR="005B43A9" w:rsidRPr="00733CAC">
        <w:rPr>
          <w:rFonts w:ascii="MS Mincho" w:eastAsia="MS Mincho" w:hAnsi="MS Mincho" w:cs="MS Mincho"/>
          <w:color w:val="000000"/>
        </w:rPr>
        <w:t> </w:t>
      </w:r>
      <w:r w:rsidR="005B43A9" w:rsidRPr="00733CAC">
        <w:rPr>
          <w:rFonts w:ascii="Times New Roman" w:hAnsi="Times New Roman"/>
          <w:color w:val="000000"/>
        </w:rPr>
        <w:t xml:space="preserve">    </w:t>
      </w:r>
      <w:r w:rsidR="00733CAC">
        <w:rPr>
          <w:rFonts w:ascii="Times New Roman" w:hAnsi="Times New Roman"/>
          <w:color w:val="000000"/>
        </w:rPr>
        <w:t xml:space="preserve">    </w:t>
      </w:r>
      <w:r w:rsidR="005B43A9" w:rsidRPr="00733CAC">
        <w:rPr>
          <w:rFonts w:ascii="Times New Roman" w:hAnsi="Times New Roman"/>
          <w:color w:val="000000"/>
        </w:rPr>
        <w:t>B - Contenuti del corso:</w:t>
      </w:r>
      <w:r w:rsidR="005B43A9" w:rsidRPr="00733CAC">
        <w:rPr>
          <w:rFonts w:ascii="MS Mincho" w:eastAsia="MS Mincho" w:hAnsi="MS Mincho" w:cs="MS Mincho"/>
          <w:color w:val="000000"/>
        </w:rPr>
        <w:t> </w:t>
      </w:r>
    </w:p>
    <w:p w14:paraId="71904344" w14:textId="77777777" w:rsidR="005B43A9" w:rsidRPr="00733CAC" w:rsidRDefault="005B43A9" w:rsidP="005B43A9">
      <w:pPr>
        <w:rPr>
          <w:rFonts w:ascii="Times New Roman" w:hAnsi="Times New Roman"/>
        </w:rPr>
      </w:pPr>
      <w:r w:rsidRPr="00733CAC">
        <w:rPr>
          <w:rFonts w:ascii="Times New Roman" w:eastAsia="MS Mincho" w:hAnsi="Times New Roman"/>
          <w:color w:val="000000"/>
        </w:rPr>
        <w:t xml:space="preserve"> </w:t>
      </w:r>
      <w:r w:rsidRPr="00733CAC">
        <w:rPr>
          <w:rFonts w:ascii="Times New Roman" w:hAnsi="Times New Roman"/>
        </w:rPr>
        <w:t xml:space="preserve">Durante lo svolgimento del corso saranno affrontati temi di carattere generale e, nel contempo, si suggeriranno linee guida per la lettura dei principali fenomeni artistici legati al periodo compreso tra il Quattrocento e il Settecento, trattando realtà legate alle categorie stilistico-temporali di uso diffuso e ponendo particolare attenzione alla trattazione di argomenti riguardanti la pittura, la scultura,  l’architettura e le arti minori, avendo cura di ricondurre l’opera d’arte al suo contesto per favorirne la piena e corretta comprensione. </w:t>
      </w:r>
    </w:p>
    <w:p w14:paraId="6C5F719B" w14:textId="6B686665" w:rsidR="005B43A9" w:rsidRPr="00733CAC" w:rsidRDefault="005B43A9" w:rsidP="005B43A9">
      <w:pPr>
        <w:widowControl w:val="0"/>
        <w:numPr>
          <w:ilvl w:val="0"/>
          <w:numId w:val="2"/>
        </w:numPr>
        <w:tabs>
          <w:tab w:val="left" w:pos="220"/>
          <w:tab w:val="left" w:pos="720"/>
        </w:tabs>
        <w:autoSpaceDE w:val="0"/>
        <w:autoSpaceDN w:val="0"/>
        <w:adjustRightInd w:val="0"/>
        <w:spacing w:after="240" w:line="360" w:lineRule="atLeast"/>
        <w:ind w:hanging="720"/>
        <w:rPr>
          <w:rFonts w:ascii="Times New Roman" w:hAnsi="Times New Roman"/>
          <w:color w:val="000000"/>
        </w:rPr>
      </w:pPr>
      <w:r w:rsidRPr="00733CAC">
        <w:rPr>
          <w:rFonts w:ascii="MS Mincho" w:eastAsia="MS Mincho" w:hAnsi="MS Mincho" w:cs="MS Mincho"/>
          <w:color w:val="000000"/>
        </w:rPr>
        <w:t> </w:t>
      </w:r>
      <w:r w:rsidR="009C3BE9">
        <w:rPr>
          <w:rFonts w:ascii="Times New Roman" w:hAnsi="Times New Roman"/>
          <w:color w:val="000000"/>
        </w:rPr>
        <w:t>C</w:t>
      </w:r>
      <w:r w:rsidRPr="00733CAC">
        <w:rPr>
          <w:rFonts w:ascii="Times New Roman" w:hAnsi="Times New Roman"/>
          <w:color w:val="000000"/>
        </w:rPr>
        <w:t xml:space="preserve"> – Bibliografia:</w:t>
      </w:r>
    </w:p>
    <w:p w14:paraId="249628CB" w14:textId="77777777" w:rsidR="00670D76" w:rsidRPr="00733CAC" w:rsidRDefault="005B43A9" w:rsidP="00670D76">
      <w:pPr>
        <w:rPr>
          <w:rFonts w:ascii="Times New Roman" w:hAnsi="Times New Roman"/>
        </w:rPr>
      </w:pPr>
      <w:r w:rsidRPr="00733CAC">
        <w:rPr>
          <w:rFonts w:ascii="MS Mincho" w:eastAsia="MS Mincho" w:hAnsi="MS Mincho" w:cs="MS Mincho"/>
          <w:color w:val="000000"/>
        </w:rPr>
        <w:t> </w:t>
      </w:r>
      <w:r w:rsidRPr="00733CAC">
        <w:rPr>
          <w:rFonts w:ascii="Times New Roman" w:hAnsi="Times New Roman"/>
          <w:color w:val="000000"/>
        </w:rPr>
        <w:t>Parte istituzionale:</w:t>
      </w:r>
      <w:r w:rsidRPr="00733CAC">
        <w:rPr>
          <w:rFonts w:ascii="Times New Roman" w:eastAsia="MS Mincho" w:hAnsi="Times New Roman"/>
          <w:color w:val="000000"/>
        </w:rPr>
        <w:t xml:space="preserve"> </w:t>
      </w:r>
      <w:r w:rsidRPr="00733CAC">
        <w:rPr>
          <w:rFonts w:ascii="Times New Roman" w:hAnsi="Times New Roman"/>
          <w:color w:val="000000"/>
        </w:rPr>
        <w:t>lo studente potrà utilizzare un manuale in uso nei licei, in particolare</w:t>
      </w:r>
      <w:r w:rsidR="00670D76" w:rsidRPr="00733CAC">
        <w:rPr>
          <w:rFonts w:ascii="Times New Roman" w:hAnsi="Times New Roman"/>
          <w:color w:val="000000"/>
        </w:rPr>
        <w:t xml:space="preserve">: </w:t>
      </w:r>
    </w:p>
    <w:p w14:paraId="4F98B26D" w14:textId="77777777" w:rsidR="00566A3F" w:rsidRPr="00733CAC" w:rsidRDefault="00566A3F" w:rsidP="00D6589A">
      <w:pPr>
        <w:rPr>
          <w:rFonts w:ascii="Times New Roman" w:hAnsi="Times New Roman"/>
        </w:rPr>
      </w:pPr>
      <w:r w:rsidRPr="00733CAC">
        <w:rPr>
          <w:rFonts w:ascii="Times New Roman" w:hAnsi="Times New Roman"/>
        </w:rPr>
        <w:t xml:space="preserve">P. De Vecchi - E. </w:t>
      </w:r>
      <w:proofErr w:type="spellStart"/>
      <w:r w:rsidRPr="00733CAC">
        <w:rPr>
          <w:rFonts w:ascii="Times New Roman" w:hAnsi="Times New Roman"/>
        </w:rPr>
        <w:t>Cerchiari</w:t>
      </w:r>
      <w:proofErr w:type="spellEnd"/>
      <w:r w:rsidRPr="00733CAC">
        <w:rPr>
          <w:rFonts w:ascii="Times New Roman" w:hAnsi="Times New Roman"/>
        </w:rPr>
        <w:t xml:space="preserve">, </w:t>
      </w:r>
      <w:r w:rsidRPr="00733CAC">
        <w:rPr>
          <w:rFonts w:ascii="Times New Roman" w:hAnsi="Times New Roman"/>
          <w:i/>
        </w:rPr>
        <w:t>Arte nel Tempo</w:t>
      </w:r>
      <w:r w:rsidRPr="00733CAC">
        <w:rPr>
          <w:rFonts w:ascii="Times New Roman" w:hAnsi="Times New Roman"/>
        </w:rPr>
        <w:t xml:space="preserve">, Bompiani Editore, Vol. 2, Tomi I e II                                    </w:t>
      </w:r>
    </w:p>
    <w:p w14:paraId="3001EFEB" w14:textId="77777777" w:rsidR="00566A3F" w:rsidRPr="00733CAC" w:rsidRDefault="00566A3F" w:rsidP="00D6589A">
      <w:pPr>
        <w:rPr>
          <w:rFonts w:ascii="Times New Roman" w:hAnsi="Times New Roman"/>
        </w:rPr>
      </w:pPr>
      <w:r w:rsidRPr="00733CAC">
        <w:rPr>
          <w:rFonts w:ascii="Times New Roman" w:hAnsi="Times New Roman"/>
        </w:rPr>
        <w:t xml:space="preserve">E. </w:t>
      </w:r>
      <w:proofErr w:type="spellStart"/>
      <w:r w:rsidRPr="00733CAC">
        <w:rPr>
          <w:rFonts w:ascii="Times New Roman" w:hAnsi="Times New Roman"/>
        </w:rPr>
        <w:t>Bairati</w:t>
      </w:r>
      <w:proofErr w:type="spellEnd"/>
      <w:r w:rsidRPr="00733CAC">
        <w:rPr>
          <w:rFonts w:ascii="Times New Roman" w:hAnsi="Times New Roman"/>
        </w:rPr>
        <w:t xml:space="preserve"> - A. Finocchi, </w:t>
      </w:r>
      <w:r w:rsidRPr="00733CAC">
        <w:rPr>
          <w:rFonts w:ascii="Times New Roman" w:hAnsi="Times New Roman"/>
          <w:i/>
        </w:rPr>
        <w:t>Arte in Italia</w:t>
      </w:r>
      <w:r w:rsidRPr="00733CAC">
        <w:rPr>
          <w:rFonts w:ascii="Times New Roman" w:hAnsi="Times New Roman"/>
        </w:rPr>
        <w:t>, Loescher Editore, Vol. 2</w:t>
      </w:r>
    </w:p>
    <w:p w14:paraId="555DC890" w14:textId="5F9CB3E2" w:rsidR="00670D76" w:rsidRPr="00733CAC" w:rsidRDefault="00566A3F" w:rsidP="00D6589A">
      <w:pPr>
        <w:rPr>
          <w:rFonts w:ascii="Times New Roman" w:hAnsi="Times New Roman"/>
        </w:rPr>
      </w:pPr>
      <w:r w:rsidRPr="00733CAC">
        <w:rPr>
          <w:rFonts w:ascii="Times New Roman" w:hAnsi="Times New Roman"/>
        </w:rPr>
        <w:t>M. Dantini</w:t>
      </w:r>
      <w:r w:rsidR="00335722" w:rsidRPr="00733CAC">
        <w:rPr>
          <w:rFonts w:ascii="Times New Roman" w:hAnsi="Times New Roman"/>
        </w:rPr>
        <w:t xml:space="preserve"> </w:t>
      </w:r>
      <w:r w:rsidRPr="00733CAC">
        <w:rPr>
          <w:rFonts w:ascii="Times New Roman" w:hAnsi="Times New Roman"/>
        </w:rPr>
        <w:t>-T. Mozzati</w:t>
      </w:r>
      <w:r w:rsidR="00335722" w:rsidRPr="00733CAC">
        <w:rPr>
          <w:rFonts w:ascii="Times New Roman" w:hAnsi="Times New Roman"/>
        </w:rPr>
        <w:t xml:space="preserve"> </w:t>
      </w:r>
      <w:r w:rsidRPr="00733CAC">
        <w:rPr>
          <w:rFonts w:ascii="Times New Roman" w:hAnsi="Times New Roman"/>
        </w:rPr>
        <w:t>-</w:t>
      </w:r>
      <w:r w:rsidR="00335722" w:rsidRPr="00733CAC">
        <w:rPr>
          <w:rFonts w:ascii="Times New Roman" w:hAnsi="Times New Roman"/>
        </w:rPr>
        <w:t xml:space="preserve"> </w:t>
      </w:r>
      <w:r w:rsidRPr="00733CAC">
        <w:rPr>
          <w:rFonts w:ascii="Times New Roman" w:hAnsi="Times New Roman"/>
        </w:rPr>
        <w:t>C. Strinati</w:t>
      </w:r>
      <w:r w:rsidR="00335722" w:rsidRPr="00733CAC">
        <w:rPr>
          <w:rFonts w:ascii="Times New Roman" w:hAnsi="Times New Roman"/>
        </w:rPr>
        <w:t xml:space="preserve"> </w:t>
      </w:r>
      <w:r w:rsidRPr="00733CAC">
        <w:rPr>
          <w:rFonts w:ascii="Times New Roman" w:hAnsi="Times New Roman"/>
        </w:rPr>
        <w:t>-</w:t>
      </w:r>
      <w:r w:rsidR="00335722" w:rsidRPr="00733CAC">
        <w:rPr>
          <w:rFonts w:ascii="Times New Roman" w:hAnsi="Times New Roman"/>
        </w:rPr>
        <w:t xml:space="preserve"> </w:t>
      </w:r>
      <w:r w:rsidRPr="00733CAC">
        <w:rPr>
          <w:rFonts w:ascii="Times New Roman" w:hAnsi="Times New Roman"/>
        </w:rPr>
        <w:t xml:space="preserve">A. </w:t>
      </w:r>
      <w:proofErr w:type="spellStart"/>
      <w:r w:rsidRPr="00733CAC">
        <w:rPr>
          <w:rFonts w:ascii="Times New Roman" w:hAnsi="Times New Roman"/>
        </w:rPr>
        <w:t>Tartuferi</w:t>
      </w:r>
      <w:proofErr w:type="spellEnd"/>
      <w:r w:rsidRPr="00733CAC">
        <w:rPr>
          <w:rFonts w:ascii="Times New Roman" w:hAnsi="Times New Roman"/>
        </w:rPr>
        <w:t xml:space="preserve">, </w:t>
      </w:r>
      <w:proofErr w:type="spellStart"/>
      <w:r w:rsidRPr="00733CAC">
        <w:rPr>
          <w:rFonts w:ascii="Times New Roman" w:hAnsi="Times New Roman"/>
          <w:i/>
        </w:rPr>
        <w:t>Arteviva</w:t>
      </w:r>
      <w:proofErr w:type="spellEnd"/>
      <w:r w:rsidRPr="00733CAC">
        <w:rPr>
          <w:rFonts w:ascii="Times New Roman" w:hAnsi="Times New Roman"/>
        </w:rPr>
        <w:t>, Giunti</w:t>
      </w:r>
      <w:r w:rsidR="00733CAC" w:rsidRPr="00733CAC">
        <w:rPr>
          <w:rFonts w:ascii="Times New Roman" w:hAnsi="Times New Roman"/>
        </w:rPr>
        <w:t xml:space="preserve"> </w:t>
      </w:r>
      <w:r w:rsidRPr="00733CAC">
        <w:rPr>
          <w:rFonts w:ascii="Times New Roman" w:hAnsi="Times New Roman"/>
        </w:rPr>
        <w:t>Editore, Vol. 2</w:t>
      </w:r>
      <w:r w:rsidR="00670D76" w:rsidRPr="00733CAC">
        <w:rPr>
          <w:rFonts w:ascii="Times New Roman" w:hAnsi="Times New Roman"/>
        </w:rPr>
        <w:t xml:space="preserve"> </w:t>
      </w:r>
    </w:p>
    <w:p w14:paraId="2E52AF1F" w14:textId="1F2D200A" w:rsidR="00733CAC" w:rsidRDefault="00670D76" w:rsidP="00D6589A">
      <w:pPr>
        <w:rPr>
          <w:rFonts w:ascii="Times New Roman" w:hAnsi="Times New Roman"/>
        </w:rPr>
      </w:pPr>
      <w:r w:rsidRPr="00733CAC">
        <w:rPr>
          <w:rFonts w:ascii="Times New Roman" w:hAnsi="Times New Roman"/>
        </w:rPr>
        <w:t>o altro manuale a scelta (in uso negli istituti superiori) da concordare con la docente.</w:t>
      </w:r>
      <w:bookmarkStart w:id="0" w:name="_GoBack"/>
      <w:bookmarkEnd w:id="0"/>
    </w:p>
    <w:p w14:paraId="0CD3F79F" w14:textId="77777777" w:rsidR="00566A3F" w:rsidRPr="00733CAC" w:rsidRDefault="00566A3F" w:rsidP="00D6589A">
      <w:pPr>
        <w:rPr>
          <w:rFonts w:ascii="Times New Roman" w:hAnsi="Times New Roman"/>
        </w:rPr>
      </w:pPr>
      <w:r w:rsidRPr="00733CAC">
        <w:rPr>
          <w:rFonts w:ascii="Times New Roman" w:hAnsi="Times New Roman"/>
        </w:rPr>
        <w:t>Argomenti di carattere generale:</w:t>
      </w:r>
    </w:p>
    <w:p w14:paraId="3ACF45D6" w14:textId="77777777" w:rsidR="00566A3F" w:rsidRPr="00733CAC" w:rsidRDefault="00566A3F" w:rsidP="00D6589A">
      <w:pPr>
        <w:rPr>
          <w:rFonts w:ascii="Times New Roman" w:hAnsi="Times New Roman"/>
        </w:rPr>
      </w:pPr>
      <w:r w:rsidRPr="00733CAC">
        <w:rPr>
          <w:rFonts w:ascii="Times New Roman" w:hAnsi="Times New Roman"/>
        </w:rPr>
        <w:t>Parte I     IL QUATTROCENTO                                                                                                                                    Parte II    LA MANIERA MODERNA                                                                                                                           Parte III  TRA  RINASCIMENTO E BAROCCO                                                                                                                  Parte IV  DAL BAROCCO AL ROCOCO’</w:t>
      </w:r>
    </w:p>
    <w:p w14:paraId="502D7285" w14:textId="77777777" w:rsidR="0080008C" w:rsidRPr="00733CAC" w:rsidRDefault="0080008C" w:rsidP="00CC6225">
      <w:pPr>
        <w:widowControl w:val="0"/>
        <w:suppressAutoHyphens/>
        <w:spacing w:after="0" w:line="240" w:lineRule="auto"/>
        <w:ind w:left="360"/>
        <w:jc w:val="both"/>
        <w:rPr>
          <w:rFonts w:ascii="Times New Roman" w:hAnsi="Times New Roman"/>
        </w:rPr>
      </w:pPr>
    </w:p>
    <w:p w14:paraId="450A17EE" w14:textId="77777777" w:rsidR="00733CAC" w:rsidRPr="00733CAC" w:rsidRDefault="00733CAC" w:rsidP="00733CAC">
      <w:pPr>
        <w:rPr>
          <w:rFonts w:ascii="Times New Roman" w:hAnsi="Times New Roman"/>
        </w:rPr>
      </w:pPr>
      <w:r w:rsidRPr="00733CAC">
        <w:rPr>
          <w:rFonts w:ascii="Times New Roman" w:hAnsi="Times New Roman"/>
        </w:rPr>
        <w:lastRenderedPageBreak/>
        <w:t>Per la preparazione del corso monografico “L’artista e il pubblico” lo studente dovrà studiare un saggio a scelta tra quelli sotto riportati:</w:t>
      </w:r>
    </w:p>
    <w:p w14:paraId="2F44EF7C" w14:textId="77777777" w:rsidR="00733CAC" w:rsidRPr="00733CAC" w:rsidRDefault="00733CAC" w:rsidP="00733CAC">
      <w:pPr>
        <w:rPr>
          <w:rFonts w:ascii="Times New Roman" w:hAnsi="Times New Roman"/>
        </w:rPr>
      </w:pPr>
      <w:r w:rsidRPr="00733CAC">
        <w:rPr>
          <w:rFonts w:ascii="Times New Roman" w:hAnsi="Times New Roman"/>
        </w:rPr>
        <w:t xml:space="preserve">M. Manieri Elia, </w:t>
      </w:r>
      <w:r w:rsidRPr="00733CAC">
        <w:rPr>
          <w:rFonts w:ascii="Times New Roman" w:hAnsi="Times New Roman"/>
          <w:i/>
        </w:rPr>
        <w:t>Città e lavoro intellettuale dal IX al XVIII secolo</w:t>
      </w:r>
      <w:r w:rsidRPr="00733CAC">
        <w:rPr>
          <w:rFonts w:ascii="Times New Roman" w:hAnsi="Times New Roman"/>
        </w:rPr>
        <w:t>, in Storia dell’Arte Italiana, 1,</w:t>
      </w:r>
      <w:r w:rsidRPr="00733CAC">
        <w:rPr>
          <w:rFonts w:ascii="Times New Roman" w:hAnsi="Times New Roman"/>
          <w:i/>
        </w:rPr>
        <w:t xml:space="preserve"> Questioni e Metodi</w:t>
      </w:r>
      <w:r w:rsidRPr="00733CAC">
        <w:rPr>
          <w:rFonts w:ascii="Times New Roman" w:hAnsi="Times New Roman"/>
        </w:rPr>
        <w:t>, Einaudi Editore, Torino 1979, pp.355-417, figg.282-353</w:t>
      </w:r>
    </w:p>
    <w:p w14:paraId="02A442B7" w14:textId="77777777" w:rsidR="00733CAC" w:rsidRPr="00733CAC" w:rsidRDefault="00733CAC" w:rsidP="00733CAC">
      <w:pPr>
        <w:rPr>
          <w:rFonts w:ascii="Times New Roman" w:hAnsi="Times New Roman"/>
        </w:rPr>
      </w:pPr>
      <w:r w:rsidRPr="00733CAC">
        <w:rPr>
          <w:rFonts w:ascii="Times New Roman" w:hAnsi="Times New Roman"/>
        </w:rPr>
        <w:t xml:space="preserve">A.M. Mura, </w:t>
      </w:r>
      <w:r w:rsidRPr="00733CAC">
        <w:rPr>
          <w:rFonts w:ascii="Times New Roman" w:hAnsi="Times New Roman"/>
          <w:i/>
        </w:rPr>
        <w:t>Il pubblico e la fruizione</w:t>
      </w:r>
      <w:r w:rsidRPr="00733CAC">
        <w:rPr>
          <w:rFonts w:ascii="Times New Roman" w:hAnsi="Times New Roman"/>
        </w:rPr>
        <w:t xml:space="preserve">, in Storia dell’Arte Italiana, 2, </w:t>
      </w:r>
      <w:r w:rsidRPr="00733CAC">
        <w:rPr>
          <w:rFonts w:ascii="Times New Roman" w:hAnsi="Times New Roman"/>
          <w:i/>
        </w:rPr>
        <w:t>L’Artista e il pubblico</w:t>
      </w:r>
      <w:r w:rsidRPr="00733CAC">
        <w:rPr>
          <w:rFonts w:ascii="Times New Roman" w:hAnsi="Times New Roman"/>
        </w:rPr>
        <w:t>, Einaudi Editore, Torino 1979, pp.267-315</w:t>
      </w:r>
    </w:p>
    <w:p w14:paraId="72A011B6" w14:textId="19ADC2FD" w:rsidR="00733CAC" w:rsidRPr="00733CAC" w:rsidRDefault="00733CAC" w:rsidP="00733CAC">
      <w:pPr>
        <w:rPr>
          <w:rFonts w:ascii="Times New Roman" w:hAnsi="Times New Roman"/>
        </w:rPr>
      </w:pPr>
      <w:r w:rsidRPr="00733CAC">
        <w:rPr>
          <w:rFonts w:ascii="Times New Roman" w:hAnsi="Times New Roman"/>
        </w:rPr>
        <w:t xml:space="preserve">E. Borea, </w:t>
      </w:r>
      <w:r w:rsidRPr="00733CAC">
        <w:rPr>
          <w:rFonts w:ascii="Times New Roman" w:hAnsi="Times New Roman"/>
          <w:i/>
        </w:rPr>
        <w:t>Stampa figurativa e pubblico dalle origini all’affermazione nel Cinquecento</w:t>
      </w:r>
      <w:r w:rsidRPr="00733CAC">
        <w:rPr>
          <w:rFonts w:ascii="Times New Roman" w:hAnsi="Times New Roman"/>
        </w:rPr>
        <w:t>,</w:t>
      </w:r>
      <w:r>
        <w:rPr>
          <w:rFonts w:ascii="Times New Roman" w:hAnsi="Times New Roman"/>
        </w:rPr>
        <w:t xml:space="preserve"> </w:t>
      </w:r>
      <w:r w:rsidRPr="00733CAC">
        <w:rPr>
          <w:rFonts w:ascii="Times New Roman" w:hAnsi="Times New Roman"/>
        </w:rPr>
        <w:t xml:space="preserve">in Storia dell’Arte Italiana, 2, </w:t>
      </w:r>
      <w:r w:rsidRPr="00733CAC">
        <w:rPr>
          <w:rFonts w:ascii="Times New Roman" w:hAnsi="Times New Roman"/>
          <w:i/>
        </w:rPr>
        <w:t>L’Artista e il pubblico</w:t>
      </w:r>
      <w:r w:rsidRPr="00733CAC">
        <w:rPr>
          <w:rFonts w:ascii="Times New Roman" w:hAnsi="Times New Roman"/>
        </w:rPr>
        <w:t xml:space="preserve">, Einaudi Editore, Torino 1979, pp. 319-411, </w:t>
      </w:r>
      <w:proofErr w:type="spellStart"/>
      <w:r w:rsidRPr="00733CAC">
        <w:rPr>
          <w:rFonts w:ascii="Times New Roman" w:hAnsi="Times New Roman"/>
        </w:rPr>
        <w:t>figg</w:t>
      </w:r>
      <w:proofErr w:type="spellEnd"/>
      <w:r w:rsidRPr="00733CAC">
        <w:rPr>
          <w:rFonts w:ascii="Times New Roman" w:hAnsi="Times New Roman"/>
        </w:rPr>
        <w:t>. 169-286</w:t>
      </w:r>
    </w:p>
    <w:p w14:paraId="01D46BE8" w14:textId="77777777" w:rsidR="00733CAC" w:rsidRPr="00733CAC" w:rsidRDefault="00733CAC" w:rsidP="00733CAC">
      <w:pPr>
        <w:rPr>
          <w:rFonts w:ascii="Times New Roman" w:hAnsi="Times New Roman"/>
        </w:rPr>
      </w:pPr>
      <w:r w:rsidRPr="00733CAC">
        <w:rPr>
          <w:rFonts w:ascii="Times New Roman" w:hAnsi="Times New Roman"/>
        </w:rPr>
        <w:t xml:space="preserve">N. </w:t>
      </w:r>
      <w:proofErr w:type="spellStart"/>
      <w:r w:rsidRPr="00733CAC">
        <w:rPr>
          <w:rFonts w:ascii="Times New Roman" w:hAnsi="Times New Roman"/>
        </w:rPr>
        <w:t>Dacos</w:t>
      </w:r>
      <w:proofErr w:type="spellEnd"/>
      <w:r w:rsidRPr="00733CAC">
        <w:rPr>
          <w:rFonts w:ascii="Times New Roman" w:hAnsi="Times New Roman"/>
        </w:rPr>
        <w:t xml:space="preserve">, </w:t>
      </w:r>
      <w:r w:rsidRPr="00733CAC">
        <w:rPr>
          <w:rFonts w:ascii="Times New Roman" w:hAnsi="Times New Roman"/>
          <w:i/>
        </w:rPr>
        <w:t>Arte italiana e arte antica</w:t>
      </w:r>
      <w:r w:rsidRPr="00733CAC">
        <w:rPr>
          <w:rFonts w:ascii="Times New Roman" w:hAnsi="Times New Roman"/>
        </w:rPr>
        <w:t xml:space="preserve">, in Storia dell’Arte Italiana, 3, </w:t>
      </w:r>
      <w:r w:rsidRPr="00733CAC">
        <w:rPr>
          <w:rFonts w:ascii="Times New Roman" w:hAnsi="Times New Roman"/>
          <w:i/>
        </w:rPr>
        <w:t>L’Esperienza dell’Antico, dell’Europa, della Religiosità</w:t>
      </w:r>
      <w:r w:rsidRPr="00733CAC">
        <w:rPr>
          <w:rFonts w:ascii="Times New Roman" w:hAnsi="Times New Roman"/>
        </w:rPr>
        <w:t>, Einaudi Editore, Torino 1979, pp.5-68, figg.1-107</w:t>
      </w:r>
    </w:p>
    <w:p w14:paraId="4D3C6657" w14:textId="77777777" w:rsidR="00733CAC" w:rsidRPr="00733CAC" w:rsidRDefault="00733CAC" w:rsidP="00733CAC">
      <w:pPr>
        <w:rPr>
          <w:rFonts w:ascii="Times New Roman" w:hAnsi="Times New Roman"/>
        </w:rPr>
      </w:pPr>
      <w:r w:rsidRPr="00733CAC">
        <w:rPr>
          <w:rFonts w:ascii="Times New Roman" w:hAnsi="Times New Roman"/>
        </w:rPr>
        <w:t xml:space="preserve">S. </w:t>
      </w:r>
      <w:proofErr w:type="spellStart"/>
      <w:r w:rsidRPr="00733CAC">
        <w:rPr>
          <w:rFonts w:ascii="Times New Roman" w:hAnsi="Times New Roman"/>
        </w:rPr>
        <w:t>Settis</w:t>
      </w:r>
      <w:proofErr w:type="spellEnd"/>
      <w:r w:rsidRPr="00733CAC">
        <w:rPr>
          <w:rFonts w:ascii="Times New Roman" w:hAnsi="Times New Roman"/>
        </w:rPr>
        <w:t xml:space="preserve">, </w:t>
      </w:r>
      <w:r w:rsidRPr="00733CAC">
        <w:rPr>
          <w:rFonts w:ascii="Times New Roman" w:hAnsi="Times New Roman"/>
          <w:i/>
        </w:rPr>
        <w:t>Iconografia dell’arte italiana, 1100-1500: una linea</w:t>
      </w:r>
      <w:r w:rsidRPr="00733CAC">
        <w:rPr>
          <w:rFonts w:ascii="Times New Roman" w:hAnsi="Times New Roman"/>
        </w:rPr>
        <w:t xml:space="preserve">, in Storia dell’Arte Italiana, 3, </w:t>
      </w:r>
      <w:r w:rsidRPr="00733CAC">
        <w:rPr>
          <w:rFonts w:ascii="Times New Roman" w:hAnsi="Times New Roman"/>
          <w:i/>
        </w:rPr>
        <w:t>L’Esperienza dell’Antico, dell’Europa, della Religiosità</w:t>
      </w:r>
      <w:r w:rsidRPr="00733CAC">
        <w:rPr>
          <w:rFonts w:ascii="Times New Roman" w:hAnsi="Times New Roman"/>
        </w:rPr>
        <w:t>, Einaudi Editore, Torino 1979, pp.175-270, figg.225-337</w:t>
      </w:r>
    </w:p>
    <w:p w14:paraId="212F0741" w14:textId="77777777" w:rsidR="00733CAC" w:rsidRPr="00733CAC" w:rsidRDefault="00733CAC" w:rsidP="00733CAC">
      <w:pPr>
        <w:rPr>
          <w:rFonts w:ascii="Times New Roman" w:hAnsi="Times New Roman"/>
        </w:rPr>
      </w:pPr>
      <w:r w:rsidRPr="00733CAC">
        <w:rPr>
          <w:rFonts w:ascii="Times New Roman" w:hAnsi="Times New Roman"/>
        </w:rPr>
        <w:t xml:space="preserve">L. </w:t>
      </w:r>
      <w:proofErr w:type="spellStart"/>
      <w:r w:rsidRPr="00733CAC">
        <w:rPr>
          <w:rFonts w:ascii="Times New Roman" w:hAnsi="Times New Roman"/>
        </w:rPr>
        <w:t>Bellosi</w:t>
      </w:r>
      <w:proofErr w:type="spellEnd"/>
      <w:r w:rsidRPr="00733CAC">
        <w:rPr>
          <w:rFonts w:ascii="Times New Roman" w:hAnsi="Times New Roman"/>
        </w:rPr>
        <w:t xml:space="preserve">, </w:t>
      </w:r>
      <w:r w:rsidRPr="00733CAC">
        <w:rPr>
          <w:rFonts w:ascii="Times New Roman" w:hAnsi="Times New Roman"/>
          <w:i/>
        </w:rPr>
        <w:t>La rappresentazione dello spazio</w:t>
      </w:r>
      <w:r w:rsidRPr="00733CAC">
        <w:rPr>
          <w:rFonts w:ascii="Times New Roman" w:hAnsi="Times New Roman"/>
        </w:rPr>
        <w:t xml:space="preserve">, in Storia dell’Arte Italiana, 4, </w:t>
      </w:r>
      <w:r w:rsidRPr="00733CAC">
        <w:rPr>
          <w:rFonts w:ascii="Times New Roman" w:hAnsi="Times New Roman"/>
          <w:i/>
        </w:rPr>
        <w:t>Ricerche spaziali e tecnologiche</w:t>
      </w:r>
      <w:r w:rsidRPr="00733CAC">
        <w:rPr>
          <w:rFonts w:ascii="Times New Roman" w:hAnsi="Times New Roman"/>
        </w:rPr>
        <w:t>, Einaudi Editore, Torino 1979, pp.5-39, figg.1-79</w:t>
      </w:r>
    </w:p>
    <w:p w14:paraId="24360575" w14:textId="77777777" w:rsidR="00733CAC" w:rsidRPr="00733CAC" w:rsidRDefault="00733CAC" w:rsidP="00733CAC">
      <w:pPr>
        <w:rPr>
          <w:rFonts w:ascii="Times New Roman" w:hAnsi="Times New Roman"/>
        </w:rPr>
      </w:pPr>
      <w:r w:rsidRPr="00733CAC">
        <w:rPr>
          <w:rFonts w:ascii="Times New Roman" w:hAnsi="Times New Roman"/>
        </w:rPr>
        <w:t xml:space="preserve">F. Negri </w:t>
      </w:r>
      <w:proofErr w:type="spellStart"/>
      <w:r w:rsidRPr="00733CAC">
        <w:rPr>
          <w:rFonts w:ascii="Times New Roman" w:hAnsi="Times New Roman"/>
        </w:rPr>
        <w:t>Arnoldi</w:t>
      </w:r>
      <w:proofErr w:type="spellEnd"/>
      <w:r w:rsidRPr="00733CAC">
        <w:rPr>
          <w:rFonts w:ascii="Times New Roman" w:hAnsi="Times New Roman"/>
        </w:rPr>
        <w:t xml:space="preserve">, </w:t>
      </w:r>
      <w:r w:rsidRPr="00733CAC">
        <w:rPr>
          <w:rFonts w:ascii="Times New Roman" w:hAnsi="Times New Roman"/>
          <w:i/>
        </w:rPr>
        <w:t>Tecnica e scienza</w:t>
      </w:r>
      <w:r w:rsidRPr="00733CAC">
        <w:rPr>
          <w:rFonts w:ascii="Times New Roman" w:hAnsi="Times New Roman"/>
        </w:rPr>
        <w:t xml:space="preserve">, in Storia dell’Arte Italiana, 4, </w:t>
      </w:r>
      <w:r w:rsidRPr="00733CAC">
        <w:rPr>
          <w:rFonts w:ascii="Times New Roman" w:hAnsi="Times New Roman"/>
          <w:i/>
        </w:rPr>
        <w:t>Ricerche spaziali e tecnologiche</w:t>
      </w:r>
      <w:r w:rsidRPr="00733CAC">
        <w:rPr>
          <w:rFonts w:ascii="Times New Roman" w:hAnsi="Times New Roman"/>
        </w:rPr>
        <w:t xml:space="preserve">, Einaudi Editore, Torino 1979, pp.103-224, figg.183-262 </w:t>
      </w:r>
    </w:p>
    <w:p w14:paraId="477C1FDD" w14:textId="77777777" w:rsidR="00733CAC" w:rsidRPr="00733CAC" w:rsidRDefault="00733CAC" w:rsidP="00733CAC">
      <w:pPr>
        <w:rPr>
          <w:rFonts w:ascii="Times New Roman" w:hAnsi="Times New Roman"/>
        </w:rPr>
      </w:pPr>
      <w:r w:rsidRPr="00733CAC">
        <w:rPr>
          <w:rFonts w:ascii="Times New Roman" w:hAnsi="Times New Roman"/>
        </w:rPr>
        <w:t xml:space="preserve">M. Lucco, </w:t>
      </w:r>
      <w:r w:rsidRPr="00733CAC">
        <w:rPr>
          <w:rFonts w:ascii="Times New Roman" w:hAnsi="Times New Roman"/>
          <w:i/>
        </w:rPr>
        <w:t>Venezia fra Quattro e Cinquecento</w:t>
      </w:r>
      <w:r w:rsidRPr="00733CAC">
        <w:rPr>
          <w:rFonts w:ascii="Times New Roman" w:hAnsi="Times New Roman"/>
        </w:rPr>
        <w:t xml:space="preserve">, in Storia dell’Arte Italiana, 5, </w:t>
      </w:r>
      <w:r w:rsidRPr="00733CAC">
        <w:rPr>
          <w:rFonts w:ascii="Times New Roman" w:hAnsi="Times New Roman"/>
          <w:i/>
        </w:rPr>
        <w:t>Dal Medioevo al Quattrocento</w:t>
      </w:r>
      <w:r w:rsidRPr="00733CAC">
        <w:rPr>
          <w:rFonts w:ascii="Times New Roman" w:hAnsi="Times New Roman"/>
        </w:rPr>
        <w:t>, Einaudi Editore, Torino 1983, pp. 447-477, figg.320-346; 368-372</w:t>
      </w:r>
    </w:p>
    <w:p w14:paraId="7FDF2A43" w14:textId="77777777" w:rsidR="00733CAC" w:rsidRPr="00733CAC" w:rsidRDefault="00733CAC" w:rsidP="00733CAC">
      <w:pPr>
        <w:rPr>
          <w:rFonts w:ascii="Times New Roman" w:hAnsi="Times New Roman"/>
        </w:rPr>
      </w:pPr>
      <w:r w:rsidRPr="00733CAC">
        <w:rPr>
          <w:rFonts w:ascii="Times New Roman" w:hAnsi="Times New Roman"/>
        </w:rPr>
        <w:t xml:space="preserve">A. Ballarin, </w:t>
      </w:r>
      <w:r w:rsidRPr="00733CAC">
        <w:rPr>
          <w:rFonts w:ascii="Times New Roman" w:hAnsi="Times New Roman"/>
          <w:i/>
        </w:rPr>
        <w:t>Giorgione e la Compagnia degli Amici: il “Doppio ritratto” Ludovisi</w:t>
      </w:r>
      <w:r w:rsidRPr="00733CAC">
        <w:rPr>
          <w:rFonts w:ascii="Times New Roman" w:hAnsi="Times New Roman"/>
        </w:rPr>
        <w:t xml:space="preserve">, in Storia dell’Arte Italiana, 5, </w:t>
      </w:r>
      <w:r w:rsidRPr="00733CAC">
        <w:rPr>
          <w:rFonts w:ascii="Times New Roman" w:hAnsi="Times New Roman"/>
          <w:i/>
        </w:rPr>
        <w:t>Dal Medioevo al Quattrocento</w:t>
      </w:r>
      <w:r w:rsidRPr="00733CAC">
        <w:rPr>
          <w:rFonts w:ascii="Times New Roman" w:hAnsi="Times New Roman"/>
        </w:rPr>
        <w:t>, Einaudi Editore, Torino 1983, pp.481-541, figg.320-372</w:t>
      </w:r>
    </w:p>
    <w:p w14:paraId="2F654966" w14:textId="77777777" w:rsidR="00733CAC" w:rsidRPr="00733CAC" w:rsidRDefault="00733CAC" w:rsidP="00733CAC">
      <w:pPr>
        <w:rPr>
          <w:rFonts w:ascii="Times New Roman" w:hAnsi="Times New Roman"/>
        </w:rPr>
      </w:pPr>
      <w:r w:rsidRPr="00733CAC">
        <w:rPr>
          <w:rFonts w:ascii="Times New Roman" w:hAnsi="Times New Roman"/>
        </w:rPr>
        <w:t xml:space="preserve">F. Zeri, </w:t>
      </w:r>
      <w:r w:rsidRPr="00733CAC">
        <w:rPr>
          <w:rFonts w:ascii="Times New Roman" w:hAnsi="Times New Roman"/>
          <w:i/>
        </w:rPr>
        <w:t>Rinascimento e Pseudo-Rinascimento</w:t>
      </w:r>
      <w:r w:rsidRPr="00733CAC">
        <w:rPr>
          <w:rFonts w:ascii="Times New Roman" w:hAnsi="Times New Roman"/>
        </w:rPr>
        <w:t xml:space="preserve">, in Storia dell’Arte Italiana, 5, </w:t>
      </w:r>
      <w:r w:rsidRPr="00733CAC">
        <w:rPr>
          <w:rFonts w:ascii="Times New Roman" w:hAnsi="Times New Roman"/>
          <w:i/>
        </w:rPr>
        <w:t>Dal Medioevo al Quattrocento</w:t>
      </w:r>
      <w:r w:rsidRPr="00733CAC">
        <w:rPr>
          <w:rFonts w:ascii="Times New Roman" w:hAnsi="Times New Roman"/>
        </w:rPr>
        <w:t>, Einaudi Editore, Torino 1983, pp.545-572, figg.373-423</w:t>
      </w:r>
    </w:p>
    <w:p w14:paraId="5BBD87AC" w14:textId="77777777" w:rsidR="00733CAC" w:rsidRPr="00733CAC" w:rsidRDefault="00733CAC" w:rsidP="00733CAC">
      <w:pPr>
        <w:rPr>
          <w:rFonts w:ascii="Times New Roman" w:hAnsi="Times New Roman"/>
        </w:rPr>
      </w:pPr>
      <w:r w:rsidRPr="00733CAC">
        <w:rPr>
          <w:rFonts w:ascii="Times New Roman" w:hAnsi="Times New Roman"/>
        </w:rPr>
        <w:t xml:space="preserve">F. Bologna, </w:t>
      </w:r>
      <w:r w:rsidRPr="00733CAC">
        <w:rPr>
          <w:rFonts w:ascii="Times New Roman" w:hAnsi="Times New Roman"/>
          <w:i/>
        </w:rPr>
        <w:t>L’incredulità del Caravaggio</w:t>
      </w:r>
      <w:r w:rsidRPr="00733CAC">
        <w:rPr>
          <w:rFonts w:ascii="Times New Roman" w:hAnsi="Times New Roman"/>
        </w:rPr>
        <w:t xml:space="preserve">, Bollati </w:t>
      </w:r>
      <w:proofErr w:type="spellStart"/>
      <w:r w:rsidRPr="00733CAC">
        <w:rPr>
          <w:rFonts w:ascii="Times New Roman" w:hAnsi="Times New Roman"/>
        </w:rPr>
        <w:t>Boringhieri</w:t>
      </w:r>
      <w:proofErr w:type="spellEnd"/>
      <w:r w:rsidRPr="00733CAC">
        <w:rPr>
          <w:rFonts w:ascii="Times New Roman" w:hAnsi="Times New Roman"/>
        </w:rPr>
        <w:t xml:space="preserve"> Editore, Torino 1992 </w:t>
      </w:r>
    </w:p>
    <w:p w14:paraId="110AC57A" w14:textId="77777777" w:rsidR="00733CAC" w:rsidRPr="00733CAC" w:rsidRDefault="00733CAC" w:rsidP="00733CAC">
      <w:pPr>
        <w:rPr>
          <w:rFonts w:ascii="Times New Roman" w:hAnsi="Times New Roman"/>
        </w:rPr>
      </w:pPr>
      <w:r w:rsidRPr="00733CAC">
        <w:rPr>
          <w:rFonts w:ascii="Times New Roman" w:hAnsi="Times New Roman"/>
        </w:rPr>
        <w:t xml:space="preserve">M. Calvesi, </w:t>
      </w:r>
      <w:r w:rsidRPr="00733CAC">
        <w:rPr>
          <w:rFonts w:ascii="Times New Roman" w:hAnsi="Times New Roman"/>
          <w:i/>
        </w:rPr>
        <w:t>Le realtà del Caravaggio</w:t>
      </w:r>
      <w:r w:rsidRPr="00733CAC">
        <w:rPr>
          <w:rFonts w:ascii="Times New Roman" w:hAnsi="Times New Roman"/>
        </w:rPr>
        <w:t>, Einaudi Editore, Torino 1990</w:t>
      </w:r>
    </w:p>
    <w:p w14:paraId="6979F77C" w14:textId="77777777" w:rsidR="00566A3F" w:rsidRPr="00733CAC" w:rsidRDefault="00566A3F" w:rsidP="00733CAC">
      <w:pPr>
        <w:pStyle w:val="Corpodeltesto21"/>
        <w:jc w:val="both"/>
        <w:rPr>
          <w:sz w:val="22"/>
          <w:szCs w:val="22"/>
        </w:rPr>
      </w:pPr>
      <w:r w:rsidRPr="00733CAC">
        <w:rPr>
          <w:sz w:val="22"/>
          <w:szCs w:val="22"/>
        </w:rPr>
        <w:t xml:space="preserve">P. </w:t>
      </w:r>
      <w:proofErr w:type="spellStart"/>
      <w:r w:rsidRPr="00733CAC">
        <w:rPr>
          <w:sz w:val="22"/>
          <w:szCs w:val="22"/>
        </w:rPr>
        <w:t>Staffiero</w:t>
      </w:r>
      <w:proofErr w:type="spellEnd"/>
      <w:r w:rsidRPr="00733CAC">
        <w:rPr>
          <w:sz w:val="22"/>
          <w:szCs w:val="22"/>
        </w:rPr>
        <w:t xml:space="preserve">, </w:t>
      </w:r>
      <w:r w:rsidRPr="00733CAC">
        <w:rPr>
          <w:i/>
          <w:sz w:val="22"/>
          <w:szCs w:val="22"/>
        </w:rPr>
        <w:t xml:space="preserve">Da Napoli a Montemurro: Matteo Mollica in un ‘convento della montagna’, </w:t>
      </w:r>
      <w:r w:rsidRPr="00733CAC">
        <w:rPr>
          <w:sz w:val="22"/>
          <w:szCs w:val="22"/>
        </w:rPr>
        <w:t>in</w:t>
      </w:r>
      <w:r w:rsidR="0064734D" w:rsidRPr="00733CAC">
        <w:rPr>
          <w:sz w:val="22"/>
          <w:szCs w:val="22"/>
        </w:rPr>
        <w:t xml:space="preserve"> </w:t>
      </w:r>
      <w:r w:rsidRPr="00733CAC">
        <w:rPr>
          <w:sz w:val="22"/>
          <w:szCs w:val="22"/>
        </w:rPr>
        <w:t xml:space="preserve">“Kronos” 15, </w:t>
      </w:r>
      <w:r w:rsidR="0064734D" w:rsidRPr="00733CAC">
        <w:rPr>
          <w:sz w:val="22"/>
          <w:szCs w:val="22"/>
        </w:rPr>
        <w:t xml:space="preserve">I, </w:t>
      </w:r>
      <w:r w:rsidRPr="00733CAC">
        <w:rPr>
          <w:i/>
          <w:sz w:val="22"/>
          <w:szCs w:val="22"/>
        </w:rPr>
        <w:t>L’arte di studiare l’arte. Scritti degli amici di Regina Poso</w:t>
      </w:r>
      <w:r w:rsidRPr="00733CAC">
        <w:rPr>
          <w:sz w:val="22"/>
          <w:szCs w:val="22"/>
        </w:rPr>
        <w:t>, Periodico del Dipartimento dei Beni delle Arti e della Storia dell’Università del Salento, Congedo Editore, Galatina 2013, pp.197-204.</w:t>
      </w:r>
    </w:p>
    <w:p w14:paraId="0718459D" w14:textId="77777777" w:rsidR="0064734D" w:rsidRPr="00733CAC" w:rsidRDefault="0064734D" w:rsidP="004D4BC8">
      <w:pPr>
        <w:pStyle w:val="Corpodeltesto21"/>
        <w:ind w:left="360"/>
        <w:jc w:val="both"/>
        <w:rPr>
          <w:sz w:val="22"/>
          <w:szCs w:val="22"/>
        </w:rPr>
      </w:pPr>
    </w:p>
    <w:p w14:paraId="49334B49" w14:textId="77777777" w:rsidR="00566A3F" w:rsidRPr="00733CAC" w:rsidRDefault="00566A3F" w:rsidP="00CC6225">
      <w:pPr>
        <w:pStyle w:val="Corpodeltesto21"/>
        <w:tabs>
          <w:tab w:val="left" w:pos="720"/>
        </w:tabs>
        <w:jc w:val="both"/>
        <w:rPr>
          <w:sz w:val="22"/>
          <w:szCs w:val="22"/>
        </w:rPr>
      </w:pPr>
    </w:p>
    <w:sectPr w:rsidR="00566A3F" w:rsidRPr="00733CAC" w:rsidSect="00557D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9"/>
    <w:multiLevelType w:val="multilevel"/>
    <w:tmpl w:val="00000009"/>
    <w:name w:val="RTF_Num 1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00A85"/>
    <w:rsid w:val="00007830"/>
    <w:rsid w:val="00036142"/>
    <w:rsid w:val="00037477"/>
    <w:rsid w:val="00052480"/>
    <w:rsid w:val="000542BE"/>
    <w:rsid w:val="00073F01"/>
    <w:rsid w:val="000805E2"/>
    <w:rsid w:val="00080CA2"/>
    <w:rsid w:val="00086C0D"/>
    <w:rsid w:val="000C7D31"/>
    <w:rsid w:val="000D2804"/>
    <w:rsid w:val="000F34AA"/>
    <w:rsid w:val="00103DDC"/>
    <w:rsid w:val="00152C7E"/>
    <w:rsid w:val="00165CC4"/>
    <w:rsid w:val="00173BF6"/>
    <w:rsid w:val="00186F5F"/>
    <w:rsid w:val="00190A73"/>
    <w:rsid w:val="001C434E"/>
    <w:rsid w:val="001D39F7"/>
    <w:rsid w:val="001E41C6"/>
    <w:rsid w:val="001F677A"/>
    <w:rsid w:val="002159C4"/>
    <w:rsid w:val="00221089"/>
    <w:rsid w:val="002278D5"/>
    <w:rsid w:val="00294E1E"/>
    <w:rsid w:val="002B7A12"/>
    <w:rsid w:val="002C6A26"/>
    <w:rsid w:val="002F46EC"/>
    <w:rsid w:val="002F6A1D"/>
    <w:rsid w:val="003272C8"/>
    <w:rsid w:val="00335722"/>
    <w:rsid w:val="00340E7A"/>
    <w:rsid w:val="00363AF2"/>
    <w:rsid w:val="00365864"/>
    <w:rsid w:val="00384935"/>
    <w:rsid w:val="00390FA7"/>
    <w:rsid w:val="003976E3"/>
    <w:rsid w:val="003A10C3"/>
    <w:rsid w:val="003E65DA"/>
    <w:rsid w:val="00403C1D"/>
    <w:rsid w:val="0041176E"/>
    <w:rsid w:val="00485626"/>
    <w:rsid w:val="00496BF3"/>
    <w:rsid w:val="00496EFA"/>
    <w:rsid w:val="004B1535"/>
    <w:rsid w:val="004B3775"/>
    <w:rsid w:val="004C05C7"/>
    <w:rsid w:val="004C1D1E"/>
    <w:rsid w:val="004D4BC8"/>
    <w:rsid w:val="004E79DA"/>
    <w:rsid w:val="004F0F8C"/>
    <w:rsid w:val="004F2721"/>
    <w:rsid w:val="00503256"/>
    <w:rsid w:val="0053106D"/>
    <w:rsid w:val="0053205C"/>
    <w:rsid w:val="00537D56"/>
    <w:rsid w:val="00547674"/>
    <w:rsid w:val="00557DE0"/>
    <w:rsid w:val="005647BC"/>
    <w:rsid w:val="00566A3F"/>
    <w:rsid w:val="005B43A9"/>
    <w:rsid w:val="005C5AC5"/>
    <w:rsid w:val="005F0C4A"/>
    <w:rsid w:val="0062516C"/>
    <w:rsid w:val="00645F77"/>
    <w:rsid w:val="0064734D"/>
    <w:rsid w:val="006540D9"/>
    <w:rsid w:val="00670D76"/>
    <w:rsid w:val="006728AC"/>
    <w:rsid w:val="00696316"/>
    <w:rsid w:val="006C0994"/>
    <w:rsid w:val="006C629F"/>
    <w:rsid w:val="006F44F7"/>
    <w:rsid w:val="006F4AB4"/>
    <w:rsid w:val="007025EE"/>
    <w:rsid w:val="00720EB7"/>
    <w:rsid w:val="00733919"/>
    <w:rsid w:val="00733CAC"/>
    <w:rsid w:val="00743132"/>
    <w:rsid w:val="00750725"/>
    <w:rsid w:val="00754C2B"/>
    <w:rsid w:val="00793F99"/>
    <w:rsid w:val="00794ED2"/>
    <w:rsid w:val="007B1DD3"/>
    <w:rsid w:val="0080008C"/>
    <w:rsid w:val="008022B2"/>
    <w:rsid w:val="008202C4"/>
    <w:rsid w:val="00821D6A"/>
    <w:rsid w:val="00826651"/>
    <w:rsid w:val="0087299B"/>
    <w:rsid w:val="00887B47"/>
    <w:rsid w:val="00897EDE"/>
    <w:rsid w:val="008C5035"/>
    <w:rsid w:val="00915FAE"/>
    <w:rsid w:val="00993C82"/>
    <w:rsid w:val="009B5153"/>
    <w:rsid w:val="009C3BE9"/>
    <w:rsid w:val="009D25B2"/>
    <w:rsid w:val="00A4777E"/>
    <w:rsid w:val="00A53005"/>
    <w:rsid w:val="00AA25BE"/>
    <w:rsid w:val="00AA59E5"/>
    <w:rsid w:val="00AC3FE9"/>
    <w:rsid w:val="00AC547C"/>
    <w:rsid w:val="00AD20DA"/>
    <w:rsid w:val="00AE4332"/>
    <w:rsid w:val="00B0678C"/>
    <w:rsid w:val="00B23396"/>
    <w:rsid w:val="00B234EB"/>
    <w:rsid w:val="00B4233E"/>
    <w:rsid w:val="00B51D2F"/>
    <w:rsid w:val="00B76879"/>
    <w:rsid w:val="00BB319F"/>
    <w:rsid w:val="00BD3B71"/>
    <w:rsid w:val="00BD7929"/>
    <w:rsid w:val="00BE03DA"/>
    <w:rsid w:val="00BF5152"/>
    <w:rsid w:val="00C301F5"/>
    <w:rsid w:val="00CA5C0F"/>
    <w:rsid w:val="00CC5A11"/>
    <w:rsid w:val="00CC6225"/>
    <w:rsid w:val="00CF7EF7"/>
    <w:rsid w:val="00D00A85"/>
    <w:rsid w:val="00D354DF"/>
    <w:rsid w:val="00D41161"/>
    <w:rsid w:val="00D55EA6"/>
    <w:rsid w:val="00D64DD9"/>
    <w:rsid w:val="00D6589A"/>
    <w:rsid w:val="00D87A61"/>
    <w:rsid w:val="00DB377B"/>
    <w:rsid w:val="00DB525E"/>
    <w:rsid w:val="00DF0EB9"/>
    <w:rsid w:val="00E17CA8"/>
    <w:rsid w:val="00E264C7"/>
    <w:rsid w:val="00E71AE9"/>
    <w:rsid w:val="00E77672"/>
    <w:rsid w:val="00E95D1F"/>
    <w:rsid w:val="00EB06DA"/>
    <w:rsid w:val="00EC2321"/>
    <w:rsid w:val="00EF3BB2"/>
    <w:rsid w:val="00F00BFC"/>
    <w:rsid w:val="00F17F15"/>
    <w:rsid w:val="00F24F68"/>
    <w:rsid w:val="00F25FD5"/>
    <w:rsid w:val="00F462E2"/>
    <w:rsid w:val="00F80253"/>
    <w:rsid w:val="00FB02A4"/>
    <w:rsid w:val="00FB39AE"/>
    <w:rsid w:val="00FC5D1B"/>
    <w:rsid w:val="00FD6C27"/>
    <w:rsid w:val="00FF4284"/>
  </w:rsids>
  <m:mathPr>
    <m:mathFont m:val="Cambria Math"/>
    <m:brkBin m:val="before"/>
    <m:brkBinSub m:val="--"/>
    <m:smallFrac/>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BB95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D00A85"/>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uiPriority w:val="99"/>
    <w:rsid w:val="00CC6225"/>
    <w:pPr>
      <w:widowControl w:val="0"/>
      <w:suppressAutoHyphens/>
      <w:spacing w:after="0" w:line="240" w:lineRule="auto"/>
    </w:pPr>
    <w:rPr>
      <w:rFonts w:ascii="Times New Roman" w:eastAsia="Times New Roman" w:hAnsi="Times New Roman"/>
      <w:sz w:val="28"/>
      <w:szCs w:val="28"/>
      <w:lang w:eastAsia="ar-SA"/>
    </w:rPr>
  </w:style>
  <w:style w:type="paragraph" w:styleId="Corpotesto">
    <w:name w:val="Body Text"/>
    <w:basedOn w:val="Normale"/>
    <w:link w:val="CorpotestoCarattere"/>
    <w:semiHidden/>
    <w:rsid w:val="006F4AB4"/>
    <w:pPr>
      <w:spacing w:after="0" w:line="240" w:lineRule="auto"/>
      <w:jc w:val="center"/>
    </w:pPr>
    <w:rPr>
      <w:rFonts w:ascii="Times New Roman" w:eastAsia="Times New Roman" w:hAnsi="Times New Roman"/>
      <w:b/>
      <w:bCs/>
      <w:i/>
      <w:iCs/>
      <w:noProof/>
      <w:sz w:val="28"/>
      <w:szCs w:val="24"/>
      <w:u w:val="single"/>
      <w:lang w:eastAsia="it-IT"/>
    </w:rPr>
  </w:style>
  <w:style w:type="character" w:customStyle="1" w:styleId="CorpotestoCarattere">
    <w:name w:val="Corpo testo Carattere"/>
    <w:basedOn w:val="Carpredefinitoparagrafo"/>
    <w:link w:val="Corpotesto"/>
    <w:semiHidden/>
    <w:rsid w:val="006F4AB4"/>
    <w:rPr>
      <w:rFonts w:ascii="Times New Roman" w:eastAsia="Times New Roman" w:hAnsi="Times New Roman"/>
      <w:b/>
      <w:bCs/>
      <w:i/>
      <w:iCs/>
      <w:noProof/>
      <w:sz w:val="28"/>
      <w:szCs w:val="24"/>
      <w:u w:val="single"/>
    </w:rPr>
  </w:style>
  <w:style w:type="paragraph" w:styleId="Corpodeltesto2">
    <w:name w:val="Body Text 2"/>
    <w:basedOn w:val="Normale"/>
    <w:link w:val="Corpodeltesto2Carattere"/>
    <w:semiHidden/>
    <w:rsid w:val="006F4AB4"/>
    <w:pPr>
      <w:spacing w:after="0" w:line="240" w:lineRule="auto"/>
    </w:pPr>
    <w:rPr>
      <w:rFonts w:ascii="Times New Roman" w:eastAsia="Times New Roman" w:hAnsi="Times New Roman"/>
      <w:noProof/>
      <w:sz w:val="28"/>
      <w:szCs w:val="24"/>
      <w:lang w:eastAsia="it-IT"/>
    </w:rPr>
  </w:style>
  <w:style w:type="character" w:customStyle="1" w:styleId="Corpodeltesto2Carattere">
    <w:name w:val="Corpo del testo 2 Carattere"/>
    <w:basedOn w:val="Carpredefinitoparagrafo"/>
    <w:link w:val="Corpodeltesto2"/>
    <w:semiHidden/>
    <w:rsid w:val="006F4AB4"/>
    <w:rPr>
      <w:rFonts w:ascii="Times New Roman" w:eastAsia="Times New Roman" w:hAnsi="Times New Roman"/>
      <w:noProof/>
      <w:sz w:val="28"/>
      <w:szCs w:val="24"/>
    </w:rPr>
  </w:style>
  <w:style w:type="paragraph" w:styleId="Rientrocorpodeltesto">
    <w:name w:val="Body Text Indent"/>
    <w:basedOn w:val="Normale"/>
    <w:link w:val="RientrocorpodeltestoCarattere"/>
    <w:semiHidden/>
    <w:rsid w:val="006F4AB4"/>
    <w:pPr>
      <w:spacing w:after="0" w:line="240" w:lineRule="auto"/>
      <w:ind w:left="720" w:hanging="12"/>
      <w:jc w:val="both"/>
    </w:pPr>
    <w:rPr>
      <w:rFonts w:ascii="Times New Roman" w:eastAsia="Times New Roman" w:hAnsi="Times New Roman"/>
      <w:noProof/>
      <w:sz w:val="28"/>
      <w:szCs w:val="24"/>
      <w:lang w:eastAsia="it-IT"/>
    </w:rPr>
  </w:style>
  <w:style w:type="character" w:customStyle="1" w:styleId="RientrocorpodeltestoCarattere">
    <w:name w:val="Rientro corpo del testo Carattere"/>
    <w:basedOn w:val="Carpredefinitoparagrafo"/>
    <w:link w:val="Rientrocorpodeltesto"/>
    <w:semiHidden/>
    <w:rsid w:val="006F4AB4"/>
    <w:rPr>
      <w:rFonts w:ascii="Times New Roman" w:eastAsia="Times New Roman" w:hAnsi="Times New Roman"/>
      <w:noProo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82506">
      <w:marLeft w:val="0"/>
      <w:marRight w:val="0"/>
      <w:marTop w:val="0"/>
      <w:marBottom w:val="0"/>
      <w:divBdr>
        <w:top w:val="none" w:sz="0" w:space="0" w:color="auto"/>
        <w:left w:val="none" w:sz="0" w:space="0" w:color="auto"/>
        <w:bottom w:val="none" w:sz="0" w:space="0" w:color="auto"/>
        <w:right w:val="none" w:sz="0" w:space="0" w:color="auto"/>
      </w:divBdr>
    </w:div>
    <w:div w:id="300382507">
      <w:marLeft w:val="0"/>
      <w:marRight w:val="0"/>
      <w:marTop w:val="0"/>
      <w:marBottom w:val="0"/>
      <w:divBdr>
        <w:top w:val="none" w:sz="0" w:space="0" w:color="auto"/>
        <w:left w:val="none" w:sz="0" w:space="0" w:color="auto"/>
        <w:bottom w:val="none" w:sz="0" w:space="0" w:color="auto"/>
        <w:right w:val="none" w:sz="0" w:space="0" w:color="auto"/>
      </w:divBdr>
    </w:div>
    <w:div w:id="30038250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615</TotalTime>
  <Pages>2</Pages>
  <Words>699</Words>
  <Characters>3985</Characters>
  <Application>Microsoft Macintosh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preinstalled</dc:creator>
  <cp:keywords/>
  <dc:description/>
  <cp:lastModifiedBy>Utente di Microsoft Office</cp:lastModifiedBy>
  <cp:revision>36</cp:revision>
  <cp:lastPrinted>2016-01-14T09:09:00Z</cp:lastPrinted>
  <dcterms:created xsi:type="dcterms:W3CDTF">2012-02-12T20:29:00Z</dcterms:created>
  <dcterms:modified xsi:type="dcterms:W3CDTF">2020-05-27T16:37:00Z</dcterms:modified>
</cp:coreProperties>
</file>